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pacing w:line="460" w:lineRule="exact"/>
        <w:ind w:firstLine="2711" w:firstLineChars="900"/>
        <w:jc w:val="both"/>
        <w:textAlignment w:val="auto"/>
        <w:rPr>
          <w:rFonts w:hint="eastAsia" w:ascii="宋体" w:hAnsi="宋体" w:eastAsia="宋体" w:cs="宋体"/>
          <w:b/>
          <w:bCs/>
          <w:color w:val="000000"/>
          <w:kern w:val="0"/>
          <w:sz w:val="30"/>
          <w:szCs w:val="30"/>
          <w:lang w:val="en-US" w:eastAsia="zh-CN" w:bidi="ar-SA"/>
        </w:rPr>
      </w:pPr>
      <w:bookmarkStart w:id="0" w:name="_GoBack"/>
      <w:bookmarkEnd w:id="0"/>
      <w:r>
        <w:rPr>
          <w:rFonts w:hint="eastAsia" w:ascii="宋体" w:hAnsi="宋体" w:eastAsia="宋体" w:cs="宋体"/>
          <w:b/>
          <w:bCs/>
          <w:color w:val="000000"/>
          <w:kern w:val="0"/>
          <w:sz w:val="30"/>
          <w:szCs w:val="30"/>
          <w:lang w:val="en-US" w:eastAsia="zh-CN" w:bidi="ar-SA"/>
        </w:rPr>
        <w:t>福州民天实业有限公司</w:t>
      </w:r>
    </w:p>
    <w:p>
      <w:pPr>
        <w:keepNext w:val="0"/>
        <w:keepLines w:val="0"/>
        <w:pageBreakBefore w:val="0"/>
        <w:kinsoku/>
        <w:wordWrap/>
        <w:overflowPunct/>
        <w:topLinePunct w:val="0"/>
        <w:autoSpaceDE/>
        <w:autoSpaceDN/>
        <w:bidi w:val="0"/>
        <w:adjustRightInd/>
        <w:spacing w:line="460" w:lineRule="exact"/>
        <w:ind w:firstLine="1807" w:firstLineChars="600"/>
        <w:jc w:val="both"/>
        <w:textAlignment w:val="auto"/>
        <w:rPr>
          <w:rFonts w:hint="eastAsia" w:ascii="宋体" w:hAnsi="宋体" w:eastAsia="宋体" w:cs="宋体"/>
          <w:b/>
          <w:bCs/>
          <w:color w:val="000000"/>
          <w:kern w:val="0"/>
          <w:sz w:val="30"/>
          <w:szCs w:val="30"/>
          <w:lang w:val="en-US" w:eastAsia="zh-CN" w:bidi="ar-SA"/>
        </w:rPr>
      </w:pPr>
      <w:r>
        <w:rPr>
          <w:rFonts w:hint="eastAsia" w:ascii="宋体" w:hAnsi="宋体" w:eastAsia="宋体" w:cs="宋体"/>
          <w:b/>
          <w:bCs/>
          <w:color w:val="000000"/>
          <w:kern w:val="0"/>
          <w:sz w:val="30"/>
          <w:szCs w:val="30"/>
          <w:lang w:val="en-US" w:eastAsia="zh-CN" w:bidi="ar-SA"/>
        </w:rPr>
        <w:t>软件开发案法律服务采购项目报价单</w:t>
      </w:r>
    </w:p>
    <w:p>
      <w:pPr>
        <w:keepNext w:val="0"/>
        <w:keepLines w:val="0"/>
        <w:pageBreakBefore w:val="0"/>
        <w:kinsoku/>
        <w:wordWrap/>
        <w:overflowPunct/>
        <w:topLinePunct w:val="0"/>
        <w:autoSpaceDE/>
        <w:autoSpaceDN/>
        <w:bidi w:val="0"/>
        <w:adjustRightInd/>
        <w:spacing w:line="460" w:lineRule="exact"/>
        <w:textAlignment w:val="auto"/>
        <w:rPr>
          <w:rFonts w:hint="eastAsia" w:ascii="宋体" w:hAnsi="宋体" w:eastAsia="宋体" w:cs="宋体"/>
          <w:b w:val="0"/>
          <w:color w:val="000000"/>
          <w:kern w:val="0"/>
          <w:sz w:val="28"/>
          <w:szCs w:val="28"/>
          <w:lang w:val="en-US" w:eastAsia="zh-CN" w:bidi="ar-SA"/>
        </w:rPr>
      </w:pPr>
    </w:p>
    <w:p>
      <w:pPr>
        <w:keepNext w:val="0"/>
        <w:keepLines w:val="0"/>
        <w:pageBreakBefore w:val="0"/>
        <w:widowControl w:val="0"/>
        <w:tabs>
          <w:tab w:val="left" w:pos="0"/>
        </w:tabs>
        <w:kinsoku/>
        <w:wordWrap/>
        <w:overflowPunct/>
        <w:topLinePunct w:val="0"/>
        <w:autoSpaceDE/>
        <w:autoSpaceDN/>
        <w:bidi w:val="0"/>
        <w:adjustRightInd/>
        <w:snapToGrid/>
        <w:spacing w:line="520" w:lineRule="exact"/>
        <w:ind w:left="0" w:leftChars="0" w:firstLine="0" w:firstLineChars="0"/>
        <w:textAlignment w:val="auto"/>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福州民天实业有限公司：</w:t>
      </w:r>
    </w:p>
    <w:p>
      <w:pPr>
        <w:pStyle w:val="3"/>
        <w:keepNext w:val="0"/>
        <w:keepLines w:val="0"/>
        <w:pageBreakBefore w:val="0"/>
        <w:kinsoku/>
        <w:wordWrap/>
        <w:overflowPunct/>
        <w:topLinePunct w:val="0"/>
        <w:autoSpaceDE/>
        <w:autoSpaceDN/>
        <w:bidi w:val="0"/>
        <w:adjustRightInd/>
        <w:spacing w:line="520" w:lineRule="exact"/>
        <w:ind w:firstLine="560" w:firstLineChars="200"/>
        <w:textAlignment w:val="auto"/>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我公司对</w:t>
      </w:r>
      <w:r>
        <w:rPr>
          <w:rFonts w:hint="eastAsia" w:ascii="宋体" w:hAnsi="宋体" w:eastAsia="宋体" w:cs="宋体"/>
          <w:b w:val="0"/>
          <w:color w:val="000000"/>
          <w:kern w:val="0"/>
          <w:sz w:val="28"/>
          <w:szCs w:val="28"/>
          <w:u w:val="single"/>
          <w:lang w:val="en-US" w:eastAsia="zh-CN" w:bidi="ar-SA"/>
        </w:rPr>
        <w:t>福州民天实业有限公司软件开发案法律服务采购项目</w:t>
      </w:r>
      <w:r>
        <w:rPr>
          <w:rFonts w:hint="eastAsia" w:ascii="宋体" w:hAnsi="宋体" w:eastAsia="宋体" w:cs="宋体"/>
          <w:b w:val="0"/>
          <w:color w:val="000000"/>
          <w:kern w:val="0"/>
          <w:sz w:val="28"/>
          <w:szCs w:val="28"/>
          <w:lang w:val="en-US" w:eastAsia="zh-CN" w:bidi="ar-SA"/>
        </w:rPr>
        <w:t>含税包干总报价为</w:t>
      </w:r>
      <w:r>
        <w:rPr>
          <w:rFonts w:hint="eastAsia" w:ascii="宋体" w:hAnsi="宋体" w:eastAsia="宋体" w:cs="宋体"/>
          <w:b w:val="0"/>
          <w:color w:val="000000"/>
          <w:kern w:val="0"/>
          <w:sz w:val="28"/>
          <w:szCs w:val="28"/>
          <w:u w:val="single"/>
          <w:lang w:val="en-US" w:eastAsia="zh-CN" w:bidi="ar-SA"/>
        </w:rPr>
        <w:t xml:space="preserve">        </w:t>
      </w:r>
      <w:r>
        <w:rPr>
          <w:rFonts w:hint="eastAsia" w:ascii="宋体" w:hAnsi="宋体" w:eastAsia="宋体" w:cs="宋体"/>
          <w:b w:val="0"/>
          <w:color w:val="000000"/>
          <w:kern w:val="0"/>
          <w:sz w:val="28"/>
          <w:szCs w:val="28"/>
          <w:lang w:val="en-US" w:eastAsia="zh-CN" w:bidi="ar-SA"/>
        </w:rPr>
        <w:t>元（大写</w:t>
      </w:r>
      <w:r>
        <w:rPr>
          <w:rFonts w:hint="eastAsia" w:ascii="宋体" w:hAnsi="宋体" w:eastAsia="宋体" w:cs="宋体"/>
          <w:b w:val="0"/>
          <w:color w:val="000000"/>
          <w:kern w:val="0"/>
          <w:sz w:val="28"/>
          <w:szCs w:val="28"/>
          <w:u w:val="single"/>
          <w:lang w:val="en-US" w:eastAsia="zh-CN" w:bidi="ar-SA"/>
        </w:rPr>
        <w:t xml:space="preserve">         </w:t>
      </w:r>
      <w:r>
        <w:rPr>
          <w:rFonts w:hint="eastAsia" w:ascii="宋体" w:hAnsi="宋体" w:eastAsia="宋体" w:cs="宋体"/>
          <w:b w:val="0"/>
          <w:color w:val="000000"/>
          <w:kern w:val="0"/>
          <w:sz w:val="28"/>
          <w:szCs w:val="28"/>
          <w:lang w:val="en-US" w:eastAsia="zh-CN" w:bidi="ar-SA"/>
        </w:rPr>
        <w:t>元），不含税包干总报价为</w:t>
      </w:r>
      <w:r>
        <w:rPr>
          <w:rFonts w:hint="eastAsia" w:ascii="宋体" w:hAnsi="宋体" w:eastAsia="宋体" w:cs="宋体"/>
          <w:b w:val="0"/>
          <w:color w:val="000000"/>
          <w:kern w:val="0"/>
          <w:sz w:val="28"/>
          <w:szCs w:val="28"/>
          <w:u w:val="single"/>
          <w:lang w:val="en-US" w:eastAsia="zh-CN" w:bidi="ar-SA"/>
        </w:rPr>
        <w:t xml:space="preserve">           </w:t>
      </w:r>
      <w:r>
        <w:rPr>
          <w:rFonts w:hint="eastAsia" w:ascii="宋体" w:hAnsi="宋体" w:eastAsia="宋体" w:cs="宋体"/>
          <w:b w:val="0"/>
          <w:color w:val="000000"/>
          <w:kern w:val="0"/>
          <w:sz w:val="28"/>
          <w:szCs w:val="28"/>
          <w:lang w:val="en-US" w:eastAsia="zh-CN" w:bidi="ar-SA"/>
        </w:rPr>
        <w:t>元（大写</w:t>
      </w:r>
      <w:r>
        <w:rPr>
          <w:rFonts w:hint="eastAsia" w:ascii="宋体" w:hAnsi="宋体" w:eastAsia="宋体" w:cs="宋体"/>
          <w:b w:val="0"/>
          <w:color w:val="000000"/>
          <w:kern w:val="0"/>
          <w:sz w:val="28"/>
          <w:szCs w:val="28"/>
          <w:u w:val="single"/>
          <w:lang w:val="en-US" w:eastAsia="zh-CN" w:bidi="ar-SA"/>
        </w:rPr>
        <w:t xml:space="preserve">        </w:t>
      </w:r>
      <w:r>
        <w:rPr>
          <w:rFonts w:hint="eastAsia" w:ascii="宋体" w:hAnsi="宋体" w:eastAsia="宋体" w:cs="宋体"/>
          <w:b w:val="0"/>
          <w:color w:val="000000"/>
          <w:kern w:val="0"/>
          <w:sz w:val="28"/>
          <w:szCs w:val="28"/>
          <w:lang w:val="en-US" w:eastAsia="zh-CN" w:bidi="ar-SA"/>
        </w:rPr>
        <w:t>元），税额为</w:t>
      </w:r>
      <w:r>
        <w:rPr>
          <w:rFonts w:hint="eastAsia" w:ascii="宋体" w:hAnsi="宋体" w:eastAsia="宋体" w:cs="宋体"/>
          <w:b w:val="0"/>
          <w:color w:val="000000"/>
          <w:kern w:val="0"/>
          <w:sz w:val="28"/>
          <w:szCs w:val="28"/>
          <w:u w:val="single"/>
          <w:lang w:val="en-US" w:eastAsia="zh-CN" w:bidi="ar-SA"/>
        </w:rPr>
        <w:t xml:space="preserve">      </w:t>
      </w:r>
      <w:r>
        <w:rPr>
          <w:rFonts w:hint="eastAsia" w:ascii="宋体" w:hAnsi="宋体" w:eastAsia="宋体" w:cs="宋体"/>
          <w:b w:val="0"/>
          <w:color w:val="000000"/>
          <w:kern w:val="0"/>
          <w:sz w:val="28"/>
          <w:szCs w:val="28"/>
          <w:lang w:val="en-US" w:eastAsia="zh-CN" w:bidi="ar-SA"/>
        </w:rPr>
        <w:t>元。其中分项报价如下：</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9"/>
        <w:gridCol w:w="1725"/>
        <w:gridCol w:w="1938"/>
        <w:gridCol w:w="2037"/>
        <w:gridCol w:w="13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9"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阶段</w:t>
            </w:r>
          </w:p>
        </w:tc>
        <w:tc>
          <w:tcPr>
            <w:tcW w:w="1725"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服务内容</w:t>
            </w:r>
          </w:p>
        </w:tc>
        <w:tc>
          <w:tcPr>
            <w:tcW w:w="1938"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含税包干报价（元）</w:t>
            </w:r>
          </w:p>
        </w:tc>
        <w:tc>
          <w:tcPr>
            <w:tcW w:w="2037"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不含税包干报价（元）</w:t>
            </w:r>
          </w:p>
        </w:tc>
        <w:tc>
          <w:tcPr>
            <w:tcW w:w="1373"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税额（元）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9" w:type="dxa"/>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第一阶段</w:t>
            </w:r>
          </w:p>
        </w:tc>
        <w:tc>
          <w:tcPr>
            <w:tcW w:w="1725" w:type="dxa"/>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再审申请审查阶段服务</w:t>
            </w:r>
          </w:p>
        </w:tc>
        <w:tc>
          <w:tcPr>
            <w:tcW w:w="1938" w:type="dxa"/>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vertAlign w:val="baseline"/>
              </w:rPr>
            </w:pPr>
          </w:p>
        </w:tc>
        <w:tc>
          <w:tcPr>
            <w:tcW w:w="2037" w:type="dxa"/>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vertAlign w:val="baseline"/>
              </w:rPr>
            </w:pPr>
          </w:p>
        </w:tc>
        <w:tc>
          <w:tcPr>
            <w:tcW w:w="1373" w:type="dxa"/>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9" w:type="dxa"/>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第二阶段</w:t>
            </w:r>
          </w:p>
        </w:tc>
        <w:tc>
          <w:tcPr>
            <w:tcW w:w="1725" w:type="dxa"/>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再审审理阶段服务</w:t>
            </w:r>
          </w:p>
        </w:tc>
        <w:tc>
          <w:tcPr>
            <w:tcW w:w="1938" w:type="dxa"/>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vertAlign w:val="baseline"/>
              </w:rPr>
            </w:pPr>
          </w:p>
        </w:tc>
        <w:tc>
          <w:tcPr>
            <w:tcW w:w="2037" w:type="dxa"/>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vertAlign w:val="baseline"/>
              </w:rPr>
            </w:pPr>
          </w:p>
        </w:tc>
        <w:tc>
          <w:tcPr>
            <w:tcW w:w="1373" w:type="dxa"/>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9" w:type="dxa"/>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第</w:t>
            </w:r>
            <w:r>
              <w:rPr>
                <w:rFonts w:hint="eastAsia" w:asciiTheme="minorEastAsia" w:hAnsiTheme="minorEastAsia" w:cstheme="minorEastAsia"/>
                <w:sz w:val="24"/>
                <w:szCs w:val="24"/>
                <w:vertAlign w:val="baseline"/>
                <w:lang w:val="en-US" w:eastAsia="zh-CN"/>
              </w:rPr>
              <w:t>三</w:t>
            </w:r>
            <w:r>
              <w:rPr>
                <w:rFonts w:hint="eastAsia" w:asciiTheme="minorEastAsia" w:hAnsiTheme="minorEastAsia" w:eastAsiaTheme="minorEastAsia" w:cstheme="minorEastAsia"/>
                <w:sz w:val="24"/>
                <w:szCs w:val="24"/>
                <w:vertAlign w:val="baseline"/>
                <w:lang w:val="en-US" w:eastAsia="zh-CN"/>
              </w:rPr>
              <w:t>阶段</w:t>
            </w:r>
          </w:p>
        </w:tc>
        <w:tc>
          <w:tcPr>
            <w:tcW w:w="1725" w:type="dxa"/>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发回重审一审阶段服务</w:t>
            </w:r>
          </w:p>
        </w:tc>
        <w:tc>
          <w:tcPr>
            <w:tcW w:w="1938" w:type="dxa"/>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vertAlign w:val="baseline"/>
              </w:rPr>
            </w:pPr>
          </w:p>
        </w:tc>
        <w:tc>
          <w:tcPr>
            <w:tcW w:w="2037" w:type="dxa"/>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vertAlign w:val="baseline"/>
              </w:rPr>
            </w:pPr>
          </w:p>
        </w:tc>
        <w:tc>
          <w:tcPr>
            <w:tcW w:w="1373" w:type="dxa"/>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9" w:type="dxa"/>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第</w:t>
            </w:r>
            <w:r>
              <w:rPr>
                <w:rFonts w:hint="eastAsia" w:asciiTheme="minorEastAsia" w:hAnsiTheme="minorEastAsia" w:cstheme="minorEastAsia"/>
                <w:sz w:val="24"/>
                <w:szCs w:val="24"/>
                <w:vertAlign w:val="baseline"/>
                <w:lang w:val="en-US" w:eastAsia="zh-CN"/>
              </w:rPr>
              <w:t>四</w:t>
            </w:r>
            <w:r>
              <w:rPr>
                <w:rFonts w:hint="eastAsia" w:asciiTheme="minorEastAsia" w:hAnsiTheme="minorEastAsia" w:eastAsiaTheme="minorEastAsia" w:cstheme="minorEastAsia"/>
                <w:sz w:val="24"/>
                <w:szCs w:val="24"/>
                <w:vertAlign w:val="baseline"/>
                <w:lang w:val="en-US" w:eastAsia="zh-CN"/>
              </w:rPr>
              <w:t>阶段</w:t>
            </w:r>
          </w:p>
        </w:tc>
        <w:tc>
          <w:tcPr>
            <w:tcW w:w="1725" w:type="dxa"/>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发回重审二审阶段服务</w:t>
            </w:r>
          </w:p>
        </w:tc>
        <w:tc>
          <w:tcPr>
            <w:tcW w:w="1938" w:type="dxa"/>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vertAlign w:val="baseline"/>
              </w:rPr>
            </w:pPr>
          </w:p>
        </w:tc>
        <w:tc>
          <w:tcPr>
            <w:tcW w:w="2037" w:type="dxa"/>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vertAlign w:val="baseline"/>
              </w:rPr>
            </w:pPr>
          </w:p>
        </w:tc>
        <w:tc>
          <w:tcPr>
            <w:tcW w:w="1373" w:type="dxa"/>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9" w:type="dxa"/>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合计</w:t>
            </w:r>
          </w:p>
        </w:tc>
        <w:tc>
          <w:tcPr>
            <w:tcW w:w="1725" w:type="dxa"/>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四</w:t>
            </w:r>
            <w:r>
              <w:rPr>
                <w:rFonts w:hint="eastAsia" w:asciiTheme="minorEastAsia" w:hAnsiTheme="minorEastAsia" w:eastAsiaTheme="minorEastAsia" w:cstheme="minorEastAsia"/>
                <w:sz w:val="24"/>
                <w:szCs w:val="24"/>
                <w:vertAlign w:val="baseline"/>
                <w:lang w:val="en-US" w:eastAsia="zh-CN"/>
              </w:rPr>
              <w:t>阶段包干总报价</w:t>
            </w:r>
          </w:p>
        </w:tc>
        <w:tc>
          <w:tcPr>
            <w:tcW w:w="1938" w:type="dxa"/>
          </w:tcPr>
          <w:p>
            <w:pPr>
              <w:keepNext w:val="0"/>
              <w:keepLines w:val="0"/>
              <w:pageBreakBefore w:val="0"/>
              <w:widowControl w:val="0"/>
              <w:kinsoku/>
              <w:wordWrap/>
              <w:overflowPunct/>
              <w:topLinePunct w:val="0"/>
              <w:autoSpaceDE/>
              <w:autoSpaceDN/>
              <w:bidi w:val="0"/>
              <w:adjustRightInd/>
              <w:snapToGrid/>
              <w:spacing w:line="400" w:lineRule="exact"/>
              <w:ind w:firstLine="240" w:firstLineChars="100"/>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元（大写：  ）</w:t>
            </w:r>
          </w:p>
        </w:tc>
        <w:tc>
          <w:tcPr>
            <w:tcW w:w="2037" w:type="dxa"/>
          </w:tcPr>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sz w:val="24"/>
                <w:szCs w:val="24"/>
                <w:vertAlign w:val="baseline"/>
              </w:rPr>
            </w:pPr>
            <w:r>
              <w:rPr>
                <w:rFonts w:hint="eastAsia" w:asciiTheme="minorEastAsia" w:hAnsiTheme="minorEastAsia" w:eastAsiaTheme="minorEastAsia" w:cstheme="minorEastAsia"/>
                <w:sz w:val="24"/>
                <w:szCs w:val="24"/>
                <w:vertAlign w:val="baseline"/>
                <w:lang w:val="en-US" w:eastAsia="zh-CN"/>
              </w:rPr>
              <w:t>元（大写：  ）</w:t>
            </w:r>
          </w:p>
        </w:tc>
        <w:tc>
          <w:tcPr>
            <w:tcW w:w="1373" w:type="dxa"/>
          </w:tcPr>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元</w:t>
            </w:r>
          </w:p>
        </w:tc>
      </w:tr>
    </w:tbl>
    <w:p>
      <w:pPr>
        <w:pStyle w:val="3"/>
        <w:keepNext w:val="0"/>
        <w:keepLines w:val="0"/>
        <w:pageBreakBefore w:val="0"/>
        <w:kinsoku/>
        <w:wordWrap/>
        <w:overflowPunct/>
        <w:topLinePunct w:val="0"/>
        <w:autoSpaceDE/>
        <w:autoSpaceDN/>
        <w:bidi w:val="0"/>
        <w:adjustRightInd/>
        <w:spacing w:line="520" w:lineRule="exact"/>
        <w:ind w:firstLine="560" w:firstLineChars="200"/>
        <w:textAlignment w:val="auto"/>
        <w:rPr>
          <w:rFonts w:hint="default" w:ascii="宋体" w:hAnsi="宋体" w:eastAsia="宋体" w:cs="宋体"/>
          <w:b w:val="0"/>
          <w:color w:val="000000"/>
          <w:kern w:val="0"/>
          <w:sz w:val="28"/>
          <w:szCs w:val="28"/>
          <w:lang w:val="en-US" w:eastAsia="zh-CN" w:bidi="ar-SA"/>
        </w:rPr>
      </w:pPr>
    </w:p>
    <w:p>
      <w:pPr>
        <w:pStyle w:val="3"/>
        <w:spacing w:line="520" w:lineRule="exact"/>
        <w:rPr>
          <w:rFonts w:hint="eastAsia" w:ascii="宋体" w:hAnsi="宋体" w:eastAsia="宋体" w:cs="宋体"/>
          <w:color w:val="000000"/>
          <w:sz w:val="28"/>
          <w:szCs w:val="28"/>
          <w:lang w:val="en-US" w:eastAsia="zh-CN"/>
        </w:rPr>
      </w:pPr>
    </w:p>
    <w:p>
      <w:pPr>
        <w:pStyle w:val="3"/>
        <w:spacing w:line="520" w:lineRule="exact"/>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注：</w:t>
      </w:r>
    </w:p>
    <w:p>
      <w:pPr>
        <w:pStyle w:val="3"/>
        <w:spacing w:line="520" w:lineRule="exact"/>
        <w:ind w:firstLine="560" w:firstLineChars="200"/>
        <w:rPr>
          <w:rFonts w:hint="eastAsia" w:ascii="宋体" w:hAnsi="宋体" w:eastAsia="宋体" w:cs="宋体"/>
          <w:color w:val="000000"/>
          <w:sz w:val="28"/>
          <w:szCs w:val="28"/>
        </w:rPr>
      </w:pPr>
      <w:r>
        <w:rPr>
          <w:rFonts w:hint="eastAsia" w:ascii="宋体" w:hAnsi="宋体" w:eastAsia="宋体" w:cs="宋体"/>
          <w:color w:val="000000"/>
          <w:sz w:val="28"/>
          <w:szCs w:val="28"/>
          <w:lang w:val="en-US" w:eastAsia="zh-CN"/>
        </w:rPr>
        <w:t>1.</w:t>
      </w:r>
      <w:r>
        <w:rPr>
          <w:rFonts w:hint="eastAsia" w:ascii="宋体" w:hAnsi="宋体" w:eastAsia="宋体" w:cs="宋体"/>
          <w:color w:val="000000"/>
          <w:sz w:val="28"/>
          <w:szCs w:val="28"/>
        </w:rPr>
        <w:t>我公司提供的发票为增值税</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发票（请填写普通还是专用）</w:t>
      </w:r>
    </w:p>
    <w:p>
      <w:pPr>
        <w:pStyle w:val="3"/>
        <w:numPr>
          <w:ilvl w:val="0"/>
          <w:numId w:val="0"/>
        </w:numPr>
        <w:spacing w:line="520" w:lineRule="exact"/>
        <w:ind w:firstLine="560" w:firstLineChars="200"/>
        <w:rPr>
          <w:rFonts w:hint="eastAsia" w:ascii="宋体" w:hAnsi="宋体" w:eastAsia="宋体" w:cs="宋体"/>
          <w:color w:val="000000"/>
          <w:sz w:val="28"/>
          <w:szCs w:val="28"/>
        </w:rPr>
      </w:pPr>
      <w:r>
        <w:rPr>
          <w:rFonts w:hint="eastAsia" w:ascii="宋体" w:hAnsi="宋体" w:eastAsia="宋体" w:cs="宋体"/>
          <w:color w:val="000000"/>
          <w:sz w:val="28"/>
          <w:szCs w:val="28"/>
          <w:lang w:val="en-US" w:eastAsia="zh-CN"/>
        </w:rPr>
        <w:t>2.</w:t>
      </w:r>
      <w:r>
        <w:rPr>
          <w:rFonts w:hint="eastAsia" w:ascii="宋体" w:hAnsi="宋体" w:eastAsia="宋体" w:cs="宋体"/>
          <w:color w:val="000000"/>
          <w:sz w:val="28"/>
          <w:szCs w:val="28"/>
        </w:rPr>
        <w:t>税率为</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%的增值税专用发票(提供增值税普通发票的无需填写）</w:t>
      </w:r>
    </w:p>
    <w:p>
      <w:pPr>
        <w:pStyle w:val="3"/>
        <w:spacing w:line="640" w:lineRule="exact"/>
        <w:ind w:firstLine="560" w:firstLineChars="200"/>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3.所有小写报价均精确到小数点后两位</w:t>
      </w:r>
    </w:p>
    <w:p>
      <w:pPr>
        <w:widowControl/>
        <w:spacing w:line="640" w:lineRule="exact"/>
        <w:ind w:firstLine="560" w:firstLineChars="200"/>
        <w:jc w:val="left"/>
        <w:rPr>
          <w:rFonts w:hint="eastAsia" w:ascii="宋体" w:hAnsi="宋体" w:eastAsia="宋体" w:cs="宋体"/>
          <w:color w:val="000000"/>
          <w:kern w:val="0"/>
          <w:sz w:val="28"/>
          <w:szCs w:val="28"/>
        </w:rPr>
      </w:pPr>
      <w:r>
        <w:rPr>
          <w:rFonts w:hint="eastAsia" w:ascii="宋体" w:hAnsi="宋体" w:eastAsia="宋体" w:cs="宋体"/>
          <w:color w:val="000000"/>
          <w:sz w:val="28"/>
          <w:szCs w:val="28"/>
          <w:lang w:val="en-US" w:eastAsia="zh-CN"/>
        </w:rPr>
        <w:t>4.</w:t>
      </w:r>
      <w:r>
        <w:rPr>
          <w:rFonts w:hint="eastAsia" w:ascii="宋体" w:hAnsi="宋体" w:eastAsia="宋体" w:cs="宋体"/>
          <w:color w:val="000000"/>
          <w:kern w:val="0"/>
          <w:sz w:val="28"/>
          <w:szCs w:val="28"/>
        </w:rPr>
        <w:t>以上报价包含人工费、差旅费、伙食费、住宿费、税费等完成对应阶段全部服务的所有费用</w:t>
      </w:r>
    </w:p>
    <w:p>
      <w:pPr>
        <w:widowControl/>
        <w:spacing w:line="640" w:lineRule="exact"/>
        <w:ind w:firstLine="560" w:firstLineChars="200"/>
        <w:jc w:val="left"/>
        <w:rPr>
          <w:rFonts w:hint="eastAsia" w:ascii="宋体" w:hAnsi="宋体" w:eastAsia="宋体" w:cs="宋体"/>
          <w:color w:val="000000"/>
          <w:sz w:val="28"/>
          <w:szCs w:val="28"/>
          <w:lang w:eastAsia="zh-CN"/>
        </w:rPr>
      </w:pPr>
      <w:r>
        <w:rPr>
          <w:rFonts w:hint="eastAsia" w:ascii="宋体" w:hAnsi="宋体" w:eastAsia="宋体" w:cs="宋体"/>
          <w:color w:val="000000"/>
          <w:sz w:val="28"/>
          <w:szCs w:val="28"/>
          <w:lang w:val="en-US" w:eastAsia="zh-CN"/>
        </w:rPr>
        <w:t>5.</w:t>
      </w:r>
      <w:r>
        <w:rPr>
          <w:rFonts w:hint="eastAsia" w:ascii="宋体" w:hAnsi="宋体" w:eastAsia="宋体" w:cs="宋体"/>
          <w:color w:val="000000"/>
          <w:sz w:val="28"/>
          <w:szCs w:val="28"/>
        </w:rPr>
        <w:t>未按以上规定</w:t>
      </w:r>
      <w:r>
        <w:rPr>
          <w:rFonts w:hint="eastAsia" w:ascii="宋体" w:hAnsi="宋体" w:eastAsia="宋体" w:cs="宋体"/>
          <w:color w:val="000000"/>
          <w:sz w:val="28"/>
          <w:szCs w:val="28"/>
          <w:lang w:val="en-US" w:eastAsia="zh-CN"/>
        </w:rPr>
        <w:t>格式正确</w:t>
      </w:r>
      <w:r>
        <w:rPr>
          <w:rFonts w:hint="eastAsia" w:ascii="宋体" w:hAnsi="宋体" w:eastAsia="宋体" w:cs="宋体"/>
          <w:color w:val="000000"/>
          <w:sz w:val="28"/>
          <w:szCs w:val="28"/>
        </w:rPr>
        <w:t>报价的视为无效报价</w:t>
      </w:r>
    </w:p>
    <w:p>
      <w:pPr>
        <w:pStyle w:val="3"/>
        <w:spacing w:line="640" w:lineRule="exact"/>
        <w:ind w:firstLine="560" w:firstLineChars="200"/>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6.未填写报价日期和提供的所有材料未盖骑缝章、缺件的视为无效报价</w:t>
      </w:r>
    </w:p>
    <w:p>
      <w:pPr>
        <w:pStyle w:val="3"/>
        <w:spacing w:line="640" w:lineRule="exact"/>
        <w:ind w:firstLine="560" w:firstLineChars="200"/>
        <w:rPr>
          <w:rFonts w:hint="eastAsia" w:ascii="宋体" w:hAnsi="宋体" w:eastAsia="宋体" w:cs="宋体"/>
          <w:color w:val="000000"/>
          <w:sz w:val="28"/>
          <w:szCs w:val="28"/>
          <w:lang w:eastAsia="zh-CN"/>
        </w:rPr>
      </w:pPr>
      <w:r>
        <w:rPr>
          <w:rFonts w:hint="eastAsia" w:ascii="宋体" w:hAnsi="宋体" w:eastAsia="宋体" w:cs="宋体"/>
          <w:color w:val="000000"/>
          <w:sz w:val="28"/>
          <w:szCs w:val="28"/>
        </w:rPr>
        <w:t>联系人：                  联系电话：</w:t>
      </w:r>
    </w:p>
    <w:p>
      <w:pPr>
        <w:pStyle w:val="3"/>
        <w:spacing w:line="520" w:lineRule="exact"/>
        <w:rPr>
          <w:rFonts w:hint="eastAsia" w:ascii="宋体" w:hAnsi="宋体" w:eastAsia="宋体" w:cs="宋体"/>
          <w:color w:val="000000"/>
          <w:sz w:val="28"/>
          <w:szCs w:val="28"/>
          <w:lang w:val="en-US" w:eastAsia="zh-CN"/>
        </w:rPr>
      </w:pPr>
    </w:p>
    <w:p>
      <w:pPr>
        <w:pStyle w:val="3"/>
        <w:keepNext w:val="0"/>
        <w:keepLines w:val="0"/>
        <w:pageBreakBefore w:val="0"/>
        <w:widowControl w:val="0"/>
        <w:kinsoku/>
        <w:wordWrap/>
        <w:overflowPunct/>
        <w:topLinePunct w:val="0"/>
        <w:autoSpaceDE/>
        <w:autoSpaceDN/>
        <w:bidi w:val="0"/>
        <w:adjustRightInd/>
        <w:snapToGrid w:val="0"/>
        <w:spacing w:line="360" w:lineRule="auto"/>
        <w:ind w:firstLine="0" w:firstLineChars="0"/>
        <w:textAlignment w:val="auto"/>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附：</w:t>
      </w:r>
    </w:p>
    <w:p>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textAlignment w:val="auto"/>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1.“信用中国”网站的查询结果打印件或截图（盖章）</w:t>
      </w:r>
    </w:p>
    <w:p>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2.提供合法有效的律师事务所执业许可证复印件</w:t>
      </w:r>
      <w:r>
        <w:rPr>
          <w:rFonts w:hint="eastAsia" w:ascii="宋体" w:hAnsi="宋体" w:eastAsia="宋体" w:cs="宋体"/>
          <w:b w:val="0"/>
          <w:color w:val="000000"/>
          <w:kern w:val="0"/>
          <w:sz w:val="28"/>
          <w:szCs w:val="28"/>
          <w:lang w:val="en-US" w:eastAsia="zh-CN" w:bidi="ar-SA"/>
        </w:rPr>
        <w:t>（盖章）</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4.提供关于“近5年内不存在司法行政机关作出的重大行政处罚或律师协会公开通报的重大行业惩戒”的承诺函</w:t>
      </w:r>
      <w:r>
        <w:rPr>
          <w:rFonts w:hint="eastAsia" w:ascii="宋体" w:hAnsi="宋体" w:eastAsia="宋体" w:cs="宋体"/>
          <w:b w:val="0"/>
          <w:color w:val="000000"/>
          <w:kern w:val="0"/>
          <w:sz w:val="28"/>
          <w:szCs w:val="28"/>
          <w:lang w:val="en-US" w:eastAsia="zh-CN" w:bidi="ar-SA"/>
        </w:rPr>
        <w:t>（盖章）</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5.提供拟派主办律师执业证书复印件、个人简历、获得荣誉、相关案件服务经验介绍</w:t>
      </w:r>
      <w:r>
        <w:rPr>
          <w:rFonts w:hint="eastAsia" w:ascii="宋体" w:hAnsi="宋体" w:eastAsia="宋体" w:cs="宋体"/>
          <w:b w:val="0"/>
          <w:color w:val="000000"/>
          <w:kern w:val="0"/>
          <w:sz w:val="28"/>
          <w:szCs w:val="28"/>
          <w:lang w:val="en-US" w:eastAsia="zh-CN" w:bidi="ar-SA"/>
        </w:rPr>
        <w:t>（盖章）</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6.提供拟派主办律师全国律师执业诚信信息公示平台律师检索页面截图</w:t>
      </w:r>
      <w:r>
        <w:rPr>
          <w:rFonts w:hint="eastAsia" w:ascii="宋体" w:hAnsi="宋体" w:eastAsia="宋体" w:cs="宋体"/>
          <w:b w:val="0"/>
          <w:color w:val="000000"/>
          <w:kern w:val="0"/>
          <w:sz w:val="28"/>
          <w:szCs w:val="28"/>
          <w:lang w:val="en-US" w:eastAsia="zh-CN" w:bidi="ar-SA"/>
        </w:rPr>
        <w:t>（盖章）</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7.提供拟派主办律师作为第一承办律师承办同类软件开发纠纷商事案件不少于3起且胜诉不少于1起（即胜诉率大于1/3）的相关佐证材料，如服务合同、服务成果或其他证明材料</w:t>
      </w:r>
      <w:r>
        <w:rPr>
          <w:rFonts w:hint="eastAsia" w:ascii="宋体" w:hAnsi="宋体" w:eastAsia="宋体" w:cs="宋体"/>
          <w:b w:val="0"/>
          <w:color w:val="000000"/>
          <w:kern w:val="0"/>
          <w:sz w:val="28"/>
          <w:szCs w:val="28"/>
          <w:lang w:val="en-US" w:eastAsia="zh-CN" w:bidi="ar-SA"/>
        </w:rPr>
        <w:t>（盖章）</w:t>
      </w:r>
    </w:p>
    <w:p>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textAlignment w:val="auto"/>
        <w:rPr>
          <w:rFonts w:hint="default" w:ascii="宋体" w:hAnsi="宋体" w:cs="宋体"/>
          <w:color w:val="000000"/>
          <w:kern w:val="0"/>
          <w:sz w:val="28"/>
          <w:szCs w:val="28"/>
          <w:lang w:val="en-US" w:eastAsia="zh-CN"/>
        </w:rPr>
      </w:pPr>
    </w:p>
    <w:p>
      <w:pPr>
        <w:pStyle w:val="3"/>
        <w:spacing w:line="520" w:lineRule="exact"/>
        <w:ind w:firstLine="4900" w:firstLineChars="1750"/>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报价单位：</w:t>
      </w:r>
    </w:p>
    <w:p>
      <w:pPr>
        <w:pStyle w:val="3"/>
        <w:spacing w:line="520" w:lineRule="exact"/>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 xml:space="preserve">                                    （盖章）</w:t>
      </w:r>
    </w:p>
    <w:p>
      <w:pPr>
        <w:pStyle w:val="3"/>
        <w:spacing w:line="520" w:lineRule="exact"/>
        <w:rPr>
          <w:sz w:val="28"/>
          <w:szCs w:val="28"/>
        </w:rPr>
      </w:pPr>
      <w:r>
        <w:rPr>
          <w:rFonts w:hint="eastAsia" w:ascii="宋体" w:hAnsi="宋体" w:eastAsia="宋体" w:cs="宋体"/>
          <w:color w:val="000000"/>
          <w:sz w:val="28"/>
          <w:szCs w:val="28"/>
          <w:lang w:val="en-US" w:eastAsia="zh-CN"/>
        </w:rPr>
        <w:t xml:space="preserve">                                   时    间：</w:t>
      </w:r>
    </w:p>
    <w:sectPr>
      <w:pgSz w:w="11906" w:h="16838"/>
      <w:pgMar w:top="1440" w:right="1800" w:bottom="1118"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8C7150"/>
    <w:rsid w:val="00A17E82"/>
    <w:rsid w:val="0678013D"/>
    <w:rsid w:val="093A1985"/>
    <w:rsid w:val="136F4E34"/>
    <w:rsid w:val="1AAA2D4F"/>
    <w:rsid w:val="1DB26589"/>
    <w:rsid w:val="22BE3A11"/>
    <w:rsid w:val="2D195047"/>
    <w:rsid w:val="32B15C64"/>
    <w:rsid w:val="33EB32E4"/>
    <w:rsid w:val="3B785CF1"/>
    <w:rsid w:val="3E8C7150"/>
    <w:rsid w:val="465313B5"/>
    <w:rsid w:val="57385C61"/>
    <w:rsid w:val="587B479B"/>
    <w:rsid w:val="5B3B5777"/>
    <w:rsid w:val="63CC40F4"/>
    <w:rsid w:val="6C5031BA"/>
    <w:rsid w:val="6D3719CE"/>
    <w:rsid w:val="6D875C64"/>
    <w:rsid w:val="6F4638FD"/>
    <w:rsid w:val="6F4F6F72"/>
    <w:rsid w:val="70055DF9"/>
    <w:rsid w:val="730B2E93"/>
    <w:rsid w:val="75EE224E"/>
    <w:rsid w:val="7AE2401E"/>
    <w:rsid w:val="7CA937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673</Words>
  <Characters>687</Characters>
  <Lines>0</Lines>
  <Paragraphs>0</Paragraphs>
  <TotalTime>0</TotalTime>
  <ScaleCrop>false</ScaleCrop>
  <LinksUpToDate>false</LinksUpToDate>
  <CharactersWithSpaces>838</CharactersWithSpaces>
  <Application>WPS Office_11.8.2.10154_F1E327BC-269C-435d-A152-05C5408002CA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2026-06-26T02:01:00Z</dcterms:created>
  <dc:creator>Irene</dc:creator>
  <cp:lastModifiedBy>administrator</cp:lastModifiedBy>
  <cp:lastPrinted>2026-08-31T02:56:00Z</cp:lastPrinted>
  <dcterms:modified xsi:type="dcterms:W3CDTF">2026-09-21T08:44:59Z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2052-11.8.2.10154</vt:lpwstr>
  </property>
  <property fmtid="{D5CDD505-2E9C-101B-9397-08002B2CF9AE}" pid="3" name="ICV">
    <vt:lpwstr>C6EECC3B9BE342DFA7C8F0B81F86C576_11</vt:lpwstr>
  </property>
  <property fmtid="{D5CDD505-2E9C-101B-9397-08002B2CF9AE}" pid="4" name="KSOTemplateDocerSaveRecord">
    <vt:lpwstr>eyJoZGlkIjoiYTlmNTIyOWU3NDA5MjA5OGYzNzgwNzZjZjQwYjE0ZTUiLCJ1c2VySWQiOiIxODI4MTExMzcxIn0=</vt:lpwstr>
  </property>
</Properties>
</file>