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福州民天实业有限公司国产化电脑采购项目报价单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福州民天实业有限公司：</w:t>
      </w:r>
    </w:p>
    <w:p w14:paraId="71787768">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我公司对</w:t>
      </w:r>
      <w:r>
        <w:rPr>
          <w:rFonts w:hint="eastAsia" w:ascii="宋体" w:hAnsi="宋体" w:eastAsia="宋体" w:cs="宋体"/>
          <w:b w:val="0"/>
          <w:color w:val="000000"/>
          <w:kern w:val="0"/>
          <w:sz w:val="28"/>
          <w:szCs w:val="28"/>
          <w:u w:val="single"/>
          <w:lang w:val="en-US" w:eastAsia="zh-CN" w:bidi="ar-SA"/>
        </w:rPr>
        <w:t>福州民天实业有限公司国产化电脑采购项目</w:t>
      </w:r>
      <w:r>
        <w:rPr>
          <w:rFonts w:hint="eastAsia" w:ascii="宋体" w:hAnsi="宋体" w:eastAsia="宋体" w:cs="宋体"/>
          <w:b w:val="0"/>
          <w:color w:val="000000"/>
          <w:kern w:val="0"/>
          <w:sz w:val="28"/>
          <w:szCs w:val="28"/>
          <w:lang w:val="en-US" w:eastAsia="zh-CN" w:bidi="ar-SA"/>
        </w:rPr>
        <w:t>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元），不含税包干总报价为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元），税额为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元。（以上为50台电脑的报价）</w:t>
      </w:r>
    </w:p>
    <w:p w14:paraId="06EB963D">
      <w:pPr>
        <w:pStyle w:val="3"/>
        <w:spacing w:line="520" w:lineRule="exact"/>
        <w:rPr>
          <w:rFonts w:hint="eastAsia" w:ascii="宋体" w:hAnsi="宋体" w:eastAsia="宋体" w:cs="宋体"/>
          <w:color w:val="000000"/>
          <w:sz w:val="28"/>
          <w:szCs w:val="28"/>
          <w:lang w:val="en-US" w:eastAsia="zh-CN"/>
        </w:rPr>
      </w:pPr>
    </w:p>
    <w:p w14:paraId="400A75BA">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注：</w:t>
      </w:r>
    </w:p>
    <w:p w14:paraId="037B7550">
      <w:pPr>
        <w:pStyle w:val="3"/>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我公司提供的发票为增值税</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发票（请填写普通还是专用）</w:t>
      </w:r>
    </w:p>
    <w:p w14:paraId="5F573ED9">
      <w:pPr>
        <w:pStyle w:val="3"/>
        <w:numPr>
          <w:ilvl w:val="0"/>
          <w:numId w:val="0"/>
        </w:num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税率为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%的增值税专用发票(提供增值税普通发票的无需填写）</w:t>
      </w:r>
    </w:p>
    <w:p w14:paraId="5E48D3A5">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3.所有小写报价均精确到小数点后两位</w:t>
      </w:r>
    </w:p>
    <w:p w14:paraId="30F70C80">
      <w:pPr>
        <w:widowControl/>
        <w:spacing w:line="64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kern w:val="0"/>
          <w:sz w:val="28"/>
          <w:szCs w:val="28"/>
        </w:rPr>
        <w:t>以上报价包含人工费、</w:t>
      </w:r>
      <w:r>
        <w:rPr>
          <w:rFonts w:hint="eastAsia" w:ascii="宋体" w:hAnsi="宋体" w:eastAsia="宋体" w:cs="宋体"/>
          <w:color w:val="000000"/>
          <w:kern w:val="0"/>
          <w:sz w:val="28"/>
          <w:szCs w:val="28"/>
          <w:lang w:val="en-US" w:eastAsia="zh-CN"/>
        </w:rPr>
        <w:t>安装费、</w:t>
      </w:r>
      <w:r>
        <w:rPr>
          <w:rFonts w:hint="eastAsia" w:ascii="宋体" w:hAnsi="宋体" w:eastAsia="宋体" w:cs="宋体"/>
          <w:color w:val="000000"/>
          <w:kern w:val="0"/>
          <w:sz w:val="28"/>
          <w:szCs w:val="28"/>
        </w:rPr>
        <w:t>税费等所有费用</w:t>
      </w:r>
    </w:p>
    <w:p w14:paraId="254B3A68">
      <w:pPr>
        <w:widowControl/>
        <w:spacing w:line="640" w:lineRule="exact"/>
        <w:ind w:firstLine="560" w:firstLineChars="200"/>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未按以上规定</w:t>
      </w:r>
      <w:r>
        <w:rPr>
          <w:rFonts w:hint="eastAsia" w:ascii="宋体" w:hAnsi="宋体" w:eastAsia="宋体" w:cs="宋体"/>
          <w:color w:val="000000"/>
          <w:sz w:val="28"/>
          <w:szCs w:val="28"/>
          <w:lang w:val="en-US" w:eastAsia="zh-CN"/>
        </w:rPr>
        <w:t>格式正确</w:t>
      </w:r>
      <w:r>
        <w:rPr>
          <w:rFonts w:hint="eastAsia" w:ascii="宋体" w:hAnsi="宋体" w:eastAsia="宋体" w:cs="宋体"/>
          <w:color w:val="000000"/>
          <w:sz w:val="28"/>
          <w:szCs w:val="28"/>
        </w:rPr>
        <w:t>报价的视为无效报价</w:t>
      </w:r>
    </w:p>
    <w:p w14:paraId="18411FE8">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6.未填写报价日期和提供的所有材料未盖骑缝章、缺件的视为无效报价</w:t>
      </w:r>
    </w:p>
    <w:p w14:paraId="6B1F3611">
      <w:pPr>
        <w:pStyle w:val="3"/>
        <w:spacing w:line="64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联系人：                  联系电话：</w:t>
      </w:r>
    </w:p>
    <w:p w14:paraId="1CF9B6A0">
      <w:pPr>
        <w:pStyle w:val="3"/>
        <w:spacing w:line="520" w:lineRule="exact"/>
        <w:rPr>
          <w:rFonts w:hint="eastAsia" w:ascii="宋体" w:hAnsi="宋体" w:eastAsia="宋体" w:cs="宋体"/>
          <w:color w:val="000000"/>
          <w:sz w:val="28"/>
          <w:szCs w:val="28"/>
          <w:lang w:val="en-US" w:eastAsia="zh-CN"/>
        </w:rPr>
      </w:pPr>
    </w:p>
    <w:p w14:paraId="1BEF3733">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2.2025年纳税人信用等级证明（盖章）</w:t>
      </w:r>
    </w:p>
    <w:p w14:paraId="61270829">
      <w:pPr>
        <w:pStyle w:val="3"/>
        <w:keepNext w:val="0"/>
        <w:keepLines w:val="0"/>
        <w:pageBreakBefore w:val="0"/>
        <w:widowControl w:val="0"/>
        <w:numPr>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3.“信用中国”网站的查询结果打印件或截图（盖章）</w:t>
      </w:r>
    </w:p>
    <w:p w14:paraId="30BE4575">
      <w:pPr>
        <w:pStyle w:val="4"/>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cs="宋体"/>
          <w:b w:val="0"/>
          <w:color w:val="000000"/>
          <w:kern w:val="0"/>
          <w:sz w:val="28"/>
          <w:szCs w:val="28"/>
          <w:highlight w:val="none"/>
          <w:lang w:val="en-US" w:eastAsia="zh-CN" w:bidi="ar-SA"/>
        </w:rPr>
        <w:t>4.</w:t>
      </w:r>
      <w:r>
        <w:rPr>
          <w:rFonts w:hint="eastAsia" w:ascii="宋体" w:hAnsi="宋体" w:cs="宋体"/>
          <w:sz w:val="28"/>
          <w:szCs w:val="28"/>
          <w:highlight w:val="none"/>
          <w:lang w:val="en-US" w:eastAsia="zh-CN"/>
        </w:rPr>
        <w:t>操作</w:t>
      </w:r>
      <w:r>
        <w:rPr>
          <w:rFonts w:hint="eastAsia" w:ascii="宋体" w:hAnsi="宋体" w:eastAsia="宋体" w:cs="宋体"/>
          <w:sz w:val="28"/>
          <w:szCs w:val="28"/>
          <w:highlight w:val="none"/>
          <w:lang w:val="en-US" w:eastAsia="zh-CN"/>
        </w:rPr>
        <w:t>系统截图</w:t>
      </w:r>
      <w:r>
        <w:rPr>
          <w:rFonts w:hint="eastAsia" w:ascii="宋体" w:hAnsi="宋体" w:eastAsia="宋体" w:cs="宋体"/>
          <w:b w:val="0"/>
          <w:color w:val="000000"/>
          <w:kern w:val="0"/>
          <w:sz w:val="28"/>
          <w:szCs w:val="28"/>
          <w:lang w:val="en-US" w:eastAsia="zh-CN" w:bidi="ar-SA"/>
        </w:rPr>
        <w:t>（盖章）</w:t>
      </w:r>
    </w:p>
    <w:p w14:paraId="0345BBC7">
      <w:pPr>
        <w:pStyle w:val="4"/>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cs="宋体"/>
          <w:sz w:val="28"/>
          <w:szCs w:val="28"/>
          <w:highlight w:val="none"/>
          <w:lang w:val="en-US" w:eastAsia="zh-CN"/>
        </w:rPr>
      </w:pPr>
      <w:r>
        <w:rPr>
          <w:rFonts w:hint="eastAsia" w:ascii="宋体" w:hAnsi="宋体" w:cs="宋体"/>
          <w:b w:val="0"/>
          <w:color w:val="000000"/>
          <w:kern w:val="0"/>
          <w:sz w:val="28"/>
          <w:szCs w:val="28"/>
          <w:lang w:val="en-US" w:eastAsia="zh-CN" w:bidi="ar-SA"/>
        </w:rPr>
        <w:t>5.</w:t>
      </w:r>
      <w:r>
        <w:rPr>
          <w:rFonts w:hint="eastAsia" w:ascii="宋体" w:hAnsi="宋体" w:eastAsia="宋体" w:cs="宋体"/>
          <w:sz w:val="28"/>
          <w:szCs w:val="28"/>
          <w:highlight w:val="none"/>
          <w:lang w:val="en-US" w:eastAsia="zh-CN"/>
        </w:rPr>
        <w:t>杀毒软件须提供国家网信办等四部门发布的《承担网络关键设备和网络安全专用产品认证》中检测机构出具的满足上述功能的检测报告关键页复印件及检测机构入围相关证明材料</w:t>
      </w:r>
      <w:r>
        <w:rPr>
          <w:rFonts w:hint="eastAsia" w:ascii="宋体" w:hAnsi="宋体" w:cs="宋体"/>
          <w:sz w:val="28"/>
          <w:szCs w:val="28"/>
          <w:highlight w:val="none"/>
          <w:lang w:val="en-US" w:eastAsia="zh-CN"/>
        </w:rPr>
        <w:t>，</w:t>
      </w:r>
      <w:r>
        <w:rPr>
          <w:rFonts w:hint="eastAsia" w:ascii="宋体" w:hAnsi="宋体" w:eastAsia="宋体" w:cs="宋体"/>
          <w:sz w:val="28"/>
          <w:szCs w:val="28"/>
          <w:highlight w:val="none"/>
          <w:lang w:val="en-US" w:eastAsia="zh-CN"/>
        </w:rPr>
        <w:t>检测报告上须体现CMA”及“CNAS”标志</w:t>
      </w:r>
      <w:r>
        <w:rPr>
          <w:rFonts w:hint="eastAsia" w:ascii="宋体" w:hAnsi="宋体" w:cs="宋体"/>
          <w:sz w:val="28"/>
          <w:szCs w:val="28"/>
          <w:highlight w:val="none"/>
          <w:lang w:val="en-US" w:eastAsia="zh-CN"/>
        </w:rPr>
        <w:t>（</w:t>
      </w:r>
      <w:r>
        <w:rPr>
          <w:rFonts w:hint="eastAsia" w:ascii="宋体" w:hAnsi="宋体" w:eastAsia="宋体" w:cs="宋体"/>
          <w:b w:val="0"/>
          <w:color w:val="000000"/>
          <w:kern w:val="0"/>
          <w:sz w:val="28"/>
          <w:szCs w:val="28"/>
          <w:lang w:val="en-US" w:eastAsia="zh-CN" w:bidi="ar-SA"/>
        </w:rPr>
        <w:t>盖章</w:t>
      </w:r>
      <w:r>
        <w:rPr>
          <w:rFonts w:hint="eastAsia" w:ascii="宋体" w:hAnsi="宋体" w:cs="宋体"/>
          <w:sz w:val="28"/>
          <w:szCs w:val="28"/>
          <w:highlight w:val="none"/>
          <w:lang w:val="en-US" w:eastAsia="zh-CN"/>
        </w:rPr>
        <w:t>）</w:t>
      </w:r>
    </w:p>
    <w:p w14:paraId="1B309F61">
      <w:pPr>
        <w:pStyle w:val="4"/>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6.杀毒软件产品厂商关于国家信息安全漏洞共享平台出具的《漏洞报送证明》复印件（</w:t>
      </w:r>
      <w:r>
        <w:rPr>
          <w:rFonts w:hint="eastAsia" w:ascii="宋体" w:hAnsi="宋体" w:eastAsia="宋体" w:cs="宋体"/>
          <w:b w:val="0"/>
          <w:color w:val="000000"/>
          <w:kern w:val="0"/>
          <w:sz w:val="28"/>
          <w:szCs w:val="28"/>
          <w:lang w:val="en-US" w:eastAsia="zh-CN" w:bidi="ar-SA"/>
        </w:rPr>
        <w:t>盖章</w:t>
      </w:r>
      <w:r>
        <w:rPr>
          <w:rFonts w:hint="eastAsia" w:ascii="宋体" w:hAnsi="宋体" w:cs="宋体"/>
          <w:sz w:val="28"/>
          <w:szCs w:val="28"/>
          <w:highlight w:val="none"/>
          <w:lang w:val="en-US" w:eastAsia="zh-CN"/>
        </w:rPr>
        <w:t>）</w:t>
      </w:r>
    </w:p>
    <w:p w14:paraId="6523BFBB">
      <w:pPr>
        <w:pStyle w:val="4"/>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7.</w:t>
      </w:r>
      <w:r>
        <w:rPr>
          <w:rFonts w:hint="eastAsia" w:ascii="宋体" w:hAnsi="宋体" w:eastAsia="宋体" w:cs="宋体"/>
          <w:sz w:val="28"/>
          <w:szCs w:val="28"/>
          <w:highlight w:val="none"/>
          <w:lang w:val="en-US" w:eastAsia="zh-CN"/>
        </w:rPr>
        <w:t>防雷插座提供由第三方检测机构出具的带有CNAS或CMA标识的检测报告予以佐证，所提供的检测报告需提供厂家的官网或公众号的查询真伪网址或二维码链接</w:t>
      </w:r>
      <w:r>
        <w:rPr>
          <w:rFonts w:hint="eastAsia" w:ascii="宋体" w:hAnsi="宋体" w:cs="宋体"/>
          <w:sz w:val="28"/>
          <w:szCs w:val="28"/>
          <w:highlight w:val="none"/>
          <w:lang w:val="en-US" w:eastAsia="zh-CN"/>
        </w:rPr>
        <w:t>（</w:t>
      </w:r>
      <w:r>
        <w:rPr>
          <w:rFonts w:hint="eastAsia" w:ascii="宋体" w:hAnsi="宋体" w:eastAsia="宋体" w:cs="宋体"/>
          <w:b w:val="0"/>
          <w:color w:val="000000"/>
          <w:kern w:val="0"/>
          <w:sz w:val="28"/>
          <w:szCs w:val="28"/>
          <w:lang w:val="en-US" w:eastAsia="zh-CN" w:bidi="ar-SA"/>
        </w:rPr>
        <w:t>盖章</w:t>
      </w:r>
      <w:r>
        <w:rPr>
          <w:rFonts w:hint="eastAsia" w:ascii="宋体" w:hAnsi="宋体" w:cs="宋体"/>
          <w:sz w:val="28"/>
          <w:szCs w:val="28"/>
          <w:highlight w:val="none"/>
          <w:lang w:val="en-US" w:eastAsia="zh-CN"/>
        </w:rPr>
        <w:t>）</w:t>
      </w:r>
    </w:p>
    <w:p w14:paraId="5075BB96">
      <w:pPr>
        <w:pStyle w:val="4"/>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lang w:val="en-US" w:eastAsia="zh-CN"/>
        </w:rPr>
        <w:t>提供由第三方检测机构出具的带有CNAS或CMA标识的检测报告予以佐证，所提供的检测报告需提供厂家的官网或公众号的查询真伪网址或二维码链接</w:t>
      </w:r>
      <w:r>
        <w:rPr>
          <w:rFonts w:hint="eastAsia" w:ascii="宋体" w:hAnsi="宋体" w:cs="宋体"/>
          <w:sz w:val="28"/>
          <w:szCs w:val="28"/>
          <w:highlight w:val="none"/>
          <w:lang w:val="en-US" w:eastAsia="zh-CN"/>
        </w:rPr>
        <w:t>（</w:t>
      </w:r>
      <w:r>
        <w:rPr>
          <w:rFonts w:hint="eastAsia" w:ascii="宋体" w:hAnsi="宋体" w:eastAsia="宋体" w:cs="宋体"/>
          <w:sz w:val="28"/>
          <w:szCs w:val="28"/>
          <w:highlight w:val="none"/>
          <w:lang w:val="en-US" w:eastAsia="zh-CN"/>
        </w:rPr>
        <w:t>PC\手机微信功能查询、告警：防雷功能寿命预警、防雷失效告警，设备GIS集中展现管理，每个设备的项目名称查询展示；设备PC\手机在线故障报修；</w:t>
      </w:r>
      <w:r>
        <w:rPr>
          <w:rFonts w:hint="eastAsia" w:ascii="宋体" w:hAnsi="宋体" w:cs="宋体"/>
          <w:sz w:val="28"/>
          <w:szCs w:val="28"/>
          <w:highlight w:val="none"/>
          <w:lang w:val="en-US" w:eastAsia="zh-CN"/>
        </w:rPr>
        <w:t>）（盖章</w:t>
      </w:r>
      <w:bookmarkStart w:id="0" w:name="_GoBack"/>
      <w:bookmarkEnd w:id="0"/>
      <w:r>
        <w:rPr>
          <w:rFonts w:hint="eastAsia" w:ascii="宋体" w:hAnsi="宋体" w:cs="宋体"/>
          <w:sz w:val="28"/>
          <w:szCs w:val="28"/>
          <w:highlight w:val="none"/>
          <w:lang w:val="en-US" w:eastAsia="zh-CN"/>
        </w:rPr>
        <w:t>）</w:t>
      </w:r>
    </w:p>
    <w:p w14:paraId="744B1D62">
      <w:pPr>
        <w:pStyle w:val="4"/>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default" w:ascii="宋体" w:hAnsi="宋体" w:cs="宋体"/>
          <w:sz w:val="28"/>
          <w:szCs w:val="28"/>
          <w:highlight w:val="none"/>
          <w:lang w:val="en-US" w:eastAsia="zh-CN"/>
        </w:rPr>
      </w:pPr>
    </w:p>
    <w:p w14:paraId="0AD9A7BA">
      <w:pPr>
        <w:pStyle w:val="3"/>
        <w:keepNext w:val="0"/>
        <w:keepLines w:val="0"/>
        <w:pageBreakBefore w:val="0"/>
        <w:widowControl w:val="0"/>
        <w:numPr>
          <w:numId w:val="0"/>
        </w:numPr>
        <w:kinsoku/>
        <w:wordWrap/>
        <w:overflowPunct/>
        <w:topLinePunct w:val="0"/>
        <w:autoSpaceDE/>
        <w:autoSpaceDN/>
        <w:bidi w:val="0"/>
        <w:adjustRightInd/>
        <w:snapToGrid w:val="0"/>
        <w:spacing w:line="360" w:lineRule="auto"/>
        <w:textAlignment w:val="auto"/>
        <w:rPr>
          <w:rFonts w:hint="default" w:ascii="宋体" w:hAnsi="宋体" w:eastAsia="宋体" w:cs="宋体"/>
          <w:b w:val="0"/>
          <w:color w:val="000000"/>
          <w:kern w:val="0"/>
          <w:sz w:val="28"/>
          <w:szCs w:val="28"/>
          <w:lang w:val="en-US" w:eastAsia="zh-CN" w:bidi="ar-SA"/>
        </w:rPr>
      </w:pPr>
    </w:p>
    <w:p w14:paraId="64006CC6">
      <w:pPr>
        <w:pStyle w:val="3"/>
        <w:keepNext w:val="0"/>
        <w:keepLines w:val="0"/>
        <w:pageBreakBefore w:val="0"/>
        <w:widowControl w:val="0"/>
        <w:numPr>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val="0"/>
          <w:color w:val="000000"/>
          <w:kern w:val="0"/>
          <w:sz w:val="28"/>
          <w:szCs w:val="28"/>
          <w:lang w:val="en-US" w:eastAsia="zh-CN" w:bidi="ar-SA"/>
        </w:rPr>
      </w:pPr>
    </w:p>
    <w:p w14:paraId="5857588A">
      <w:pPr>
        <w:pStyle w:val="4"/>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color w:val="000000"/>
          <w:kern w:val="0"/>
          <w:sz w:val="28"/>
          <w:szCs w:val="28"/>
          <w:highlight w:val="none"/>
          <w:lang w:val="en-US" w:eastAsia="zh-CN" w:bidi="ar-SA"/>
        </w:rPr>
      </w:pPr>
    </w:p>
    <w:p w14:paraId="69288D0B">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val="0"/>
          <w:color w:val="000000"/>
          <w:kern w:val="0"/>
          <w:sz w:val="28"/>
          <w:szCs w:val="28"/>
          <w:lang w:val="en-US" w:eastAsia="zh-CN" w:bidi="ar-SA"/>
        </w:rPr>
      </w:pPr>
    </w:p>
    <w:p w14:paraId="2C37F75C">
      <w:pPr>
        <w:pStyle w:val="3"/>
        <w:spacing w:line="520" w:lineRule="exact"/>
        <w:ind w:firstLine="4900" w:firstLineChars="1750"/>
        <w:rPr>
          <w:rFonts w:hint="eastAsia" w:ascii="宋体" w:hAnsi="宋体" w:eastAsia="宋体" w:cs="宋体"/>
          <w:color w:val="000000"/>
          <w:sz w:val="28"/>
          <w:szCs w:val="28"/>
          <w:lang w:val="en-US" w:eastAsia="zh-CN"/>
        </w:rPr>
      </w:pPr>
    </w:p>
    <w:p w14:paraId="50802B19">
      <w:pPr>
        <w:pStyle w:val="3"/>
        <w:spacing w:line="520" w:lineRule="exact"/>
        <w:ind w:firstLine="4900" w:firstLineChars="175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w:t>
      </w:r>
    </w:p>
    <w:p w14:paraId="1E37251F">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（盖章）</w:t>
      </w:r>
    </w:p>
    <w:p w14:paraId="2FC6082E">
      <w:pPr>
        <w:pStyle w:val="3"/>
        <w:spacing w:line="520" w:lineRule="exact"/>
        <w:rPr>
          <w:rFonts w:hint="eastAsia" w:ascii="宋体" w:hAnsi="宋体" w:eastAsia="宋体" w:cs="宋体"/>
          <w:sz w:val="28"/>
          <w:szCs w:val="28"/>
          <w:lang w:val="en-US" w:eastAsia="zh-CN"/>
        </w:rPr>
      </w:pPr>
      <w:r>
        <w:rPr>
          <w:rFonts w:hint="eastAsia" w:ascii="宋体" w:hAnsi="宋体" w:eastAsia="宋体" w:cs="宋体"/>
          <w:color w:val="000000"/>
          <w:sz w:val="28"/>
          <w:szCs w:val="28"/>
          <w:lang w:val="en-US" w:eastAsia="zh-CN"/>
        </w:rPr>
        <w:t xml:space="preserve">                                   时    间：</w:t>
      </w:r>
    </w:p>
    <w:p w14:paraId="1D259FF5">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B7891"/>
    <w:rsid w:val="0241692F"/>
    <w:rsid w:val="0AC70BA5"/>
    <w:rsid w:val="0C9B7891"/>
    <w:rsid w:val="19946E8F"/>
    <w:rsid w:val="2F8A0E15"/>
    <w:rsid w:val="31676C33"/>
    <w:rsid w:val="319C476F"/>
    <w:rsid w:val="377B5AA7"/>
    <w:rsid w:val="3EBB3A87"/>
    <w:rsid w:val="430D2722"/>
    <w:rsid w:val="46E543AC"/>
    <w:rsid w:val="4D182037"/>
    <w:rsid w:val="6E815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333</Words>
  <Characters>347</Characters>
  <Lines>0</Lines>
  <Paragraphs>0</Paragraphs>
  <TotalTime>0</TotalTime>
  <ScaleCrop>false</ScaleCrop>
  <LinksUpToDate>false</LinksUpToDate>
  <CharactersWithSpaces>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2026-07-03T04:02:00Z</dcterms:created>
  <dc:creator>Irene</dc:creator>
  <cp:lastModifiedBy>黄艳娟</cp:lastModifiedBy>
  <dcterms:modified xsi:type="dcterms:W3CDTF">2026-08-20T07:59:49Z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93390242A17D4F74AF95402370B49E38_11</vt:lpwstr>
  </property>
  <property fmtid="{D5CDD505-2E9C-101B-9397-08002B2CF9AE}" pid="4" name="KSOTemplateDocerSaveRecord">
    <vt:lpwstr>eyJoZGlkIjoiYTlmNTIyOWU3NDA5MjA5OGYzNzgwNzZjZjQwYjE0ZTUiLCJ1c2VySWQiOiIyMjc4NDI3MzcifQ==</vt:lpwstr>
  </property>
</Properties>
</file>